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BB" w:rsidRPr="00FE59BB" w:rsidRDefault="00FE59BB" w:rsidP="00FE59BB">
      <w:pPr>
        <w:spacing w:before="300" w:after="150" w:line="240" w:lineRule="auto"/>
        <w:outlineLvl w:val="2"/>
        <w:rPr>
          <w:rFonts w:ascii="inherit" w:eastAsia="Times New Roman" w:hAnsi="inherit" w:cs="Arial"/>
          <w:color w:val="4D4D4D"/>
          <w:sz w:val="36"/>
          <w:szCs w:val="36"/>
          <w:lang w:eastAsia="de-DE"/>
        </w:rPr>
      </w:pPr>
      <w:r w:rsidRPr="00FE59BB">
        <w:rPr>
          <w:rFonts w:ascii="inherit" w:eastAsia="Times New Roman" w:hAnsi="inherit" w:cs="Arial"/>
          <w:color w:val="4D4D4D"/>
          <w:sz w:val="36"/>
          <w:szCs w:val="36"/>
          <w:lang w:eastAsia="de-DE"/>
        </w:rPr>
        <w:t>Notbetreuung</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Für wen ist die Notbetreuung gedacht?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In der Notbetreuung sind zum einen </w:t>
      </w:r>
      <w:r w:rsidRPr="00FE59BB">
        <w:rPr>
          <w:rFonts w:ascii="Roboto" w:eastAsia="Times New Roman" w:hAnsi="Roboto" w:cs="Arial"/>
          <w:b/>
          <w:bCs/>
          <w:color w:val="4D4D4D"/>
          <w:sz w:val="21"/>
          <w:szCs w:val="21"/>
          <w:lang w:eastAsia="de-DE"/>
        </w:rPr>
        <w:t>alle Kinder aufzunehmen, die auch bisher</w:t>
      </w:r>
      <w:r w:rsidRPr="00FE59BB">
        <w:rPr>
          <w:rFonts w:ascii="Roboto" w:eastAsia="Times New Roman" w:hAnsi="Roboto" w:cs="Arial"/>
          <w:color w:val="4D4D4D"/>
          <w:sz w:val="21"/>
          <w:szCs w:val="21"/>
          <w:lang w:eastAsia="de-DE"/>
        </w:rPr>
        <w:t xml:space="preserve"> im Rahmen der Notbetreuung berücksichtigt wurden (Kinder, bei denen mindestens ein Elternteil in sog. kritischen Infrastrukturen tätig ist, sowie Härtefälle).</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Nach der Erweiterung der verordnungsrechtlichen Grundlage sind überdies Kinder einer Erziehungsberechtigten bzw. eines Erziehungsberechtigten, die/der in einem Berufszweig von </w:t>
      </w:r>
      <w:r w:rsidRPr="00FE59BB">
        <w:rPr>
          <w:rFonts w:ascii="Roboto" w:eastAsia="Times New Roman" w:hAnsi="Roboto" w:cs="Arial"/>
          <w:b/>
          <w:bCs/>
          <w:color w:val="4D4D4D"/>
          <w:sz w:val="21"/>
          <w:szCs w:val="21"/>
          <w:lang w:eastAsia="de-DE"/>
        </w:rPr>
        <w:t>allgemeinem öffentlichen Interesse</w:t>
      </w:r>
      <w:r w:rsidRPr="00FE59BB">
        <w:rPr>
          <w:rFonts w:ascii="Roboto" w:eastAsia="Times New Roman" w:hAnsi="Roboto" w:cs="Arial"/>
          <w:color w:val="4D4D4D"/>
          <w:sz w:val="21"/>
          <w:szCs w:val="21"/>
          <w:lang w:eastAsia="de-DE"/>
        </w:rPr>
        <w:t xml:space="preserve"> tätig ist, aufzunehmen, sofern die Erziehungsberechtigte oder der Erziehungsberechtigte in betriebsnotwendiger Stellung tätig ist.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Ferner können bei den </w:t>
      </w:r>
      <w:r w:rsidRPr="00FE59BB">
        <w:rPr>
          <w:rFonts w:ascii="Roboto" w:eastAsia="Times New Roman" w:hAnsi="Roboto" w:cs="Arial"/>
          <w:b/>
          <w:bCs/>
          <w:color w:val="4D4D4D"/>
          <w:sz w:val="21"/>
          <w:szCs w:val="21"/>
          <w:lang w:eastAsia="de-DE"/>
        </w:rPr>
        <w:t>besonderen Härtefällen</w:t>
      </w:r>
      <w:r w:rsidRPr="00FE59BB">
        <w:rPr>
          <w:rFonts w:ascii="Roboto" w:eastAsia="Times New Roman" w:hAnsi="Roboto" w:cs="Arial"/>
          <w:color w:val="4D4D4D"/>
          <w:sz w:val="21"/>
          <w:szCs w:val="21"/>
          <w:lang w:eastAsia="de-DE"/>
        </w:rPr>
        <w:t xml:space="preserve"> auch folgende Gesichtspunkte Berücksichtigung finden:</w:t>
      </w:r>
    </w:p>
    <w:p w:rsidR="00FE59BB" w:rsidRPr="00FE59BB" w:rsidRDefault="00FE59BB" w:rsidP="00FE59BB">
      <w:pPr>
        <w:numPr>
          <w:ilvl w:val="0"/>
          <w:numId w:val="1"/>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drohende Kindeswohlgefährdung,</w:t>
      </w:r>
    </w:p>
    <w:p w:rsidR="00FE59BB" w:rsidRPr="00FE59BB" w:rsidRDefault="00FE59BB" w:rsidP="00FE59BB">
      <w:pPr>
        <w:numPr>
          <w:ilvl w:val="0"/>
          <w:numId w:val="1"/>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Vereinbarkeit von Familie und Beruf, insbesondere bei Alleinerziehenden,</w:t>
      </w:r>
    </w:p>
    <w:p w:rsidR="00FE59BB" w:rsidRPr="00FE59BB" w:rsidRDefault="00FE59BB" w:rsidP="00FE59BB">
      <w:pPr>
        <w:numPr>
          <w:ilvl w:val="0"/>
          <w:numId w:val="1"/>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gemeinsame Betreuung von Geschwisterkindern,</w:t>
      </w:r>
    </w:p>
    <w:p w:rsidR="00FE59BB" w:rsidRPr="00FE59BB" w:rsidRDefault="00FE59BB" w:rsidP="00FE59BB">
      <w:pPr>
        <w:numPr>
          <w:ilvl w:val="0"/>
          <w:numId w:val="1"/>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drohende Kündigung und erheblicher Verdienstausfall.</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Für welche Berufszweige kann im Einzelfall die Möglichkeit der Kinderbetreuung in einer Notfallgruppe eröffnet sein?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Bislang waren bereits Kinder in die Notbetreuung aufzunehmen, bei denen mindestens ein Elternteil in sog. kritischen Infrastrukturen tätig ist. Hierzu gehören insbesondere folgende Berufsgruppen:</w:t>
      </w:r>
    </w:p>
    <w:p w:rsidR="00FE59BB" w:rsidRPr="00FE59BB" w:rsidRDefault="00FE59BB" w:rsidP="00FE59BB">
      <w:pPr>
        <w:numPr>
          <w:ilvl w:val="0"/>
          <w:numId w:val="2"/>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Beschäftigte im Gesundheitsbereich, medizinischen Bereich und pflegerischen Bereich,</w:t>
      </w:r>
    </w:p>
    <w:p w:rsidR="00FE59BB" w:rsidRPr="00FE59BB" w:rsidRDefault="00FE59BB" w:rsidP="00FE59BB">
      <w:pPr>
        <w:numPr>
          <w:ilvl w:val="0"/>
          <w:numId w:val="2"/>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Beschäftigte im Bereich der Polizei, Rettungsdienst, Katastrophenschutz und Feuerwehr,</w:t>
      </w:r>
    </w:p>
    <w:p w:rsidR="00FE59BB" w:rsidRPr="00FE59BB" w:rsidRDefault="00FE59BB" w:rsidP="00FE59BB">
      <w:pPr>
        <w:numPr>
          <w:ilvl w:val="0"/>
          <w:numId w:val="2"/>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Beschäftigte im Vollzugsbereich einschließlich Justizvollzug, Maßregelvollzug und vergleichbare Bereiche,</w:t>
      </w:r>
    </w:p>
    <w:p w:rsidR="00FE59BB" w:rsidRPr="00FE59BB" w:rsidRDefault="00FE59BB" w:rsidP="00FE59BB">
      <w:pPr>
        <w:numPr>
          <w:ilvl w:val="0"/>
          <w:numId w:val="2"/>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Beschäftigte zur Aufrechterhaltung der Staats- und Regierungsfunktionen.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Darüber hinaus können nun auch Kinder einer Erziehungsberechtigten bzw. eines Erziehungsberechtigten, die/der in einem Berufszweig von </w:t>
      </w:r>
      <w:r w:rsidRPr="00FE59BB">
        <w:rPr>
          <w:rFonts w:ascii="Roboto" w:eastAsia="Times New Roman" w:hAnsi="Roboto" w:cs="Arial"/>
          <w:b/>
          <w:bCs/>
          <w:color w:val="4D4D4D"/>
          <w:sz w:val="21"/>
          <w:szCs w:val="21"/>
          <w:lang w:eastAsia="de-DE"/>
        </w:rPr>
        <w:t>allgemeinem öffentlichen Interesse</w:t>
      </w:r>
      <w:r w:rsidRPr="00FE59BB">
        <w:rPr>
          <w:rFonts w:ascii="Roboto" w:eastAsia="Times New Roman" w:hAnsi="Roboto" w:cs="Arial"/>
          <w:color w:val="4D4D4D"/>
          <w:sz w:val="21"/>
          <w:szCs w:val="21"/>
          <w:lang w:eastAsia="de-DE"/>
        </w:rPr>
        <w:t xml:space="preserve"> tätig ist, aufgenommen werden, sofern die Erziehungsberechtigte oder der Erziehungsberechtigte in betriebsnotwendiger Stellung tätig ist.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Als Berufszweig von allgemeinem öffentlichen Interesse können etwa die Bereiche Energieversorgung (etwa Strom-, Gas-, Kraftstoffversorgung), Wasserversorgung (öffentliche Wasserversorgung, öffentliche Abwasserbeseitigung), Ernährung und Hygiene (Produktion, Groß- und Einzelhandel), Informationstechnik und Telekommunikation (insb. Einrichtung zur Entstörung und Aufrechterhaltung der Netze), Finanzen (Bargeld-versorgung, Sozialtransfers), Transport und Verkehr (Logistik für die kritische Infrastruktur, ÖPNV), Entsorgung (Müllabfuhr) sowie Medien und Kultur - Risiko- und Krisenkommunikation klassifiziert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Daher sollten auch Erziehungsberechtigte in den vorgenannten Bereichen die Möglichkeit haben, in dringenden Fällen auf die Notbetreuung in Kindertageseinrichtungen und Kindertagespflege zurückzugreifen. Dabei gilt wie für alle anderen relevanten Berufsgruppen auch, dass sehr genau auf die dringende Notwendigkeit zu achten ist. Es sind vor Inanspruchnahme der Notbetreuung sämtliche anderen Möglichkeiten der Betreuung auszuschöpfen. Ziel der Einrichtungsschließungen ist die Verlangsamung der Ausbreitung des </w:t>
      </w:r>
      <w:proofErr w:type="spellStart"/>
      <w:r w:rsidRPr="00FE59BB">
        <w:rPr>
          <w:rFonts w:ascii="Roboto" w:eastAsia="Times New Roman" w:hAnsi="Roboto" w:cs="Arial"/>
          <w:color w:val="4D4D4D"/>
          <w:sz w:val="21"/>
          <w:szCs w:val="21"/>
          <w:lang w:eastAsia="de-DE"/>
        </w:rPr>
        <w:t>Coronavirus</w:t>
      </w:r>
      <w:proofErr w:type="spellEnd"/>
      <w:r w:rsidRPr="00FE59BB">
        <w:rPr>
          <w:rFonts w:ascii="Roboto" w:eastAsia="Times New Roman" w:hAnsi="Roboto" w:cs="Arial"/>
          <w:color w:val="4D4D4D"/>
          <w:sz w:val="21"/>
          <w:szCs w:val="21"/>
          <w:lang w:eastAsia="de-DE"/>
        </w:rPr>
        <w:t>. Diese Priorität müssen alle Beteiligten stets im Blick behalten.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Die Verordnung vom 17.04.2020 erweitert den Rahmen derer, die eine Notbetreuung in Anspruch nehmen können. Warum?</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Erste Erfolge der Untersagung haben zu einer deutlichen Reduzierung der Infektionsrate geführt, so dass nun vorsichtig und mit Augenmaß eine Erweiterung der Notbetreuung erfolgen soll. Mit der Wiederaufnahme des Schulbetriebs, des Gewerbes und des Einzelhandels muss eine weitergehende Kinderbetreuung gewährleistet sein.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lastRenderedPageBreak/>
        <w:t>Oberste Prämisse bei allen Entscheidungen vor Ort muss es dennoch weiterhin sein, die Infektionsketten wirksam zu unterbrechen. Dies kann nur gelingen, wenn die Notbetreuung zurückhaltend gewährt und in Anspruch genommen wird.</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Für welchen Zeitraum gelten die erweiterten Regelungen der Notbetreuung?</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Die Verordnung tritt mit Ablauf des 6. Mai 2020 außer Kraft. Es ist in den nächsten Wochen genau zu beobachten, wie sich die Zahl der Neuinfizierten entwickelt. Vor Ablauf des 6. Mai 2020 ist auf dieser Grundlage die weitere Entwicklung zu entscheiden.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Können über die bereits aufgenommenen Kinder, bei denen mindestens ein Elternteil in sog. kritischen Infrastrukturen tätig ist, weitere Kinder von Eltern mit Tätigkeiten in anderen Berufszweigen in die Notbetreuung aufgenommen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Ja. Nach der Erweiterung der verordnungsrechtlichen Grundlage können neben den bislang bereits in der Notbetreuung betreuten Kindern auch Kinder einer Erziehungsberechtigten bzw. eines Erziehungsberechtigten, die/der in einem </w:t>
      </w:r>
      <w:r w:rsidRPr="00FE59BB">
        <w:rPr>
          <w:rFonts w:ascii="Roboto" w:eastAsia="Times New Roman" w:hAnsi="Roboto" w:cs="Arial"/>
          <w:b/>
          <w:bCs/>
          <w:color w:val="4D4D4D"/>
          <w:sz w:val="21"/>
          <w:szCs w:val="21"/>
          <w:lang w:eastAsia="de-DE"/>
        </w:rPr>
        <w:t>Berufszweig von allgemeinem öffentlichen Interesse</w:t>
      </w:r>
      <w:r w:rsidRPr="00FE59BB">
        <w:rPr>
          <w:rFonts w:ascii="Roboto" w:eastAsia="Times New Roman" w:hAnsi="Roboto" w:cs="Arial"/>
          <w:color w:val="4D4D4D"/>
          <w:sz w:val="21"/>
          <w:szCs w:val="21"/>
          <w:lang w:eastAsia="de-DE"/>
        </w:rPr>
        <w:t xml:space="preserve"> tätig ist, aufgenommen werden. Voraussetzung ist, dass die Erziehungsberechtigte oder der Erziehungsberechtigte in betriebsnotwendiger Stellung tätig ist. Im Einzelfall kann hierzu die Vorlage einer Bestätigung oder eines Nachweises des Arbeitgebers verlangt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Müssen von mehreren Erziehungsberechtigten alle in betriebsnotwendiger Stellung in einem Berufszweig von allgemeinem öffentlichem Interesse tätig sein?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Es sollen Kinder auch dann in die Notbetreuung aufgenommen werden können, wenn lediglich eine Erziehungsberechtigte oder ein Erziehungsberechtigter in betriebsnotwendiger Stellung in einem Berufszweig von allgemeinem öffentlichem Interesse tätig ist. Vor Inanspruchnahme des Notbetriebs durch Erziehungsberechtigte sind aber anderweitige Betreuungsmöglichkeiten vollständig auszuschöpfen.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In welchen besonderen Härtefällen kann im Einzelfall die Möglichkeit der Kinderbetreuung in einer Notfallgruppe eröffnet sein?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Bei der Beurteilung eines besonderen Härtefalles können folgende Gesichtspunkte Berücksichtigung finden:</w:t>
      </w:r>
    </w:p>
    <w:p w:rsidR="00FE59BB" w:rsidRPr="00FE59BB" w:rsidRDefault="00FE59BB" w:rsidP="00FE59BB">
      <w:pPr>
        <w:numPr>
          <w:ilvl w:val="0"/>
          <w:numId w:val="3"/>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drohende Kindeswohlgefährdung,</w:t>
      </w:r>
    </w:p>
    <w:p w:rsidR="00FE59BB" w:rsidRPr="00FE59BB" w:rsidRDefault="00FE59BB" w:rsidP="00FE59BB">
      <w:pPr>
        <w:numPr>
          <w:ilvl w:val="0"/>
          <w:numId w:val="3"/>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Vereinbarkeit von Familie und Beruf, insbesondere bei Alleinerziehenden,</w:t>
      </w:r>
    </w:p>
    <w:p w:rsidR="00FE59BB" w:rsidRPr="00FE59BB" w:rsidRDefault="00FE59BB" w:rsidP="00FE59BB">
      <w:pPr>
        <w:numPr>
          <w:ilvl w:val="0"/>
          <w:numId w:val="3"/>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gemeinsame Betreuung von Geschwisterkindern,</w:t>
      </w:r>
    </w:p>
    <w:p w:rsidR="00FE59BB" w:rsidRPr="00FE59BB" w:rsidRDefault="00FE59BB" w:rsidP="00FE59BB">
      <w:pPr>
        <w:numPr>
          <w:ilvl w:val="0"/>
          <w:numId w:val="3"/>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drohende Kündigung und erheblicher Verdienstausfall.</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 xml:space="preserve">Allerdings sind auch die Härtefälle vor Ort </w:t>
      </w:r>
      <w:r w:rsidRPr="00FE59BB">
        <w:rPr>
          <w:rFonts w:ascii="Roboto" w:eastAsia="Times New Roman" w:hAnsi="Roboto" w:cs="Arial"/>
          <w:b/>
          <w:bCs/>
          <w:color w:val="4D4D4D"/>
          <w:sz w:val="21"/>
          <w:szCs w:val="21"/>
          <w:lang w:eastAsia="de-DE"/>
        </w:rPr>
        <w:t>eng auszulegen</w:t>
      </w:r>
      <w:r w:rsidRPr="00FE59BB">
        <w:rPr>
          <w:rFonts w:ascii="Roboto" w:eastAsia="Times New Roman" w:hAnsi="Roboto" w:cs="Arial"/>
          <w:color w:val="4D4D4D"/>
          <w:sz w:val="21"/>
          <w:szCs w:val="21"/>
          <w:lang w:eastAsia="de-DE"/>
        </w:rPr>
        <w:t>: Es ist immer das Ziel der Unterbrechung der Infektionsketten zu beachten. Es sollte daher in der Regel ein Nachweis gefordert werden, aus dem der Härtefall hervorgeht.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Vor Inanspruchnahme des Notbetriebs durch Erziehungsberechtigte sind zudem anderweitige Betreuungsmöglichkeiten auch in Härtefallsituationen vollständig auszuschöpfen.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Welchen zeitlichen Umfang hat die Notbetreuung?</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Der zeitliche Umfang der Notbetreuung ist nicht vorgegeben. Er orientiert sich einerseits am Ziel der Unterbrechung der Infektionsketten, andererseits aber auch an der Begründung für die Einrichtung der Notbetreuung: Der Aufrechterhaltung von Dienstleistungen von allgemeinem öffentlichen Interesse. Die Entscheidung über die Dauer der Öffnungszeit kann nur vor Ort unter Würdigung der Bedarfe der Erziehungsberechtigten beurteilt werden. Auch im Hinblick auf den zeitlichen Umfang gilt, dass alternative Betreuungsmöglichkeiten auszuschöpfen sind.</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Können in einer Einrichtung mehrere Notgruppen bestehen?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Ja. Werden in einer Einrichtung mehrere kleine Gruppen betreut, so ist auf eine angemessene Distanz der Kinder der verschiedenen Gruppen zu achten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Besteht eine Verpflichtung zum Tragen eines Mundschutzes für die Kinder und die Fachkräfte?</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lastRenderedPageBreak/>
        <w:t>Nein, es besteht keine Verpflichtung zum Tragen eines Mundschutzes. Bei der Entscheidung über das Tragen eines Mundschutzes ist auch zu berücksichtigen, dass kleine Kinder den direkten Kontakt mit den Fachkräften benötigen und häufig auch auf die Wahrnehmung der Mimik und des Ausdrucks der Fachkräfte angewiesen sind, um eine vertrauensvolle Beziehung herzustellen und Gesprochenes einordnen und verarbeiten zu können.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Dürfen erkrankte Kinder in die Notbetreuung kommen?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Erkrankte Kinder dürfen nicht an der Notbetreuung teilnehmen. Bei Kindern von Eltern, die nachweislich in ungeschütztem und direktem Kontakt mit Corona-infizierten Menschen waren, sollte ebenfalls keine Notbetreuung stattfinden. Die Notbetreuung kann allerdings dann normal durchgeführt werden, wenn – wie dies etwa regelmäßig bei einer Tätigkeit einer Erziehungsberechtigten oder eines Erziehungsberechtigten im Gesundheitsbereich der Fall ist – der Kontakt mit Corona-infizierten Menschen kontrolliert und unter Einsatz von Schutzkleidung stattfindet.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Was gilt für Personen aus sogenannten Risikogruppen?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Beschäftigte in Schulen, die einer Risikogruppe angehören, können auf eigenen Wunsch nach Vorlage eines ärztlichen Attestes im „Home Office“ verbleiben. Auch Schülerinnen und Schüler einer Risikogruppe sowie diejenigen, die mit Angehörigen von Risikogruppen in häuslicher Gemeinschaft leben, können ins „Home Office“ gehen. Für die betroffenen Beschäftigten in Schulen gilt, dass sie von zu Hause aus nach Weisung durch die Schulleitung schulische Aufgaben übernehmen.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Schülerinnen und Schüler, die im häuslichen Lernen verbleiben, werden von ihren Lehrkräften mit Unterrichtsmaterial, Aufgaben und Lernplänen versorgt. Zu den Risikogruppen gehören gemäß Angaben des Robert-Koch-Institutes Personen über 60 Jahre und/oder mit folgenden Vorerkrankungen:</w:t>
      </w:r>
    </w:p>
    <w:p w:rsidR="00FE59BB" w:rsidRPr="00FE59BB" w:rsidRDefault="00FE59BB" w:rsidP="00FE59BB">
      <w:pPr>
        <w:numPr>
          <w:ilvl w:val="0"/>
          <w:numId w:val="4"/>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Herzkreislauferkrankungen</w:t>
      </w:r>
    </w:p>
    <w:p w:rsidR="00FE59BB" w:rsidRPr="00FE59BB" w:rsidRDefault="00FE59BB" w:rsidP="00FE59BB">
      <w:pPr>
        <w:numPr>
          <w:ilvl w:val="0"/>
          <w:numId w:val="4"/>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Diabetes</w:t>
      </w:r>
    </w:p>
    <w:p w:rsidR="00FE59BB" w:rsidRPr="00FE59BB" w:rsidRDefault="00FE59BB" w:rsidP="00FE59BB">
      <w:pPr>
        <w:numPr>
          <w:ilvl w:val="0"/>
          <w:numId w:val="4"/>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Erkrankungen des Atemsystems, der Leber, der Niere</w:t>
      </w:r>
    </w:p>
    <w:p w:rsidR="00FE59BB" w:rsidRPr="00FE59BB" w:rsidRDefault="00FE59BB" w:rsidP="00FE59BB">
      <w:pPr>
        <w:numPr>
          <w:ilvl w:val="0"/>
          <w:numId w:val="4"/>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Krebserkrankungen</w:t>
      </w:r>
    </w:p>
    <w:p w:rsidR="00FE59BB" w:rsidRPr="00FE59BB" w:rsidRDefault="00FE59BB" w:rsidP="00FE59BB">
      <w:pPr>
        <w:numPr>
          <w:ilvl w:val="0"/>
          <w:numId w:val="4"/>
        </w:numPr>
        <w:spacing w:before="100" w:beforeAutospacing="1" w:after="100" w:afterAutospacing="1" w:line="240" w:lineRule="auto"/>
        <w:ind w:left="495"/>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Erkrankungen, die mit einer Immunschwäche einhergehen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Kann das Außengelände genutzt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Ja. Die Nutzung des Außengeländes sollte getrennt in kleinen Gruppen erfolgen.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Dürfen mehrere Schulen die Notbetreuung zusammenlegen, wenn die Nachfrage vor Ort nur sehr gering ist?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Nein. Grundsätzlich soll es keine Zusammenlegungen von Notgruppen geben, um die Gruppen klein zu halten. Ausnahme: Besteht für eine Schule Betretungsverbot, können die Schülerinnen und Schüler in die Notgruppe einer anderen Schule verwiesen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 xml:space="preserve">Ist eine Notbetreuung am Wochenende vorgesehen? </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Nein, diese ist derzeit nicht vorgesehen.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Gibt es in der Notbetreuung ein Mittagessen?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Nein, die Notfallbetreuung sieht grundsätzlich kein Mittagessen vor.</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Besteht für die Schülerinnen und Schüler, die in Schulen im Rahmen einer Notbetreuung betreut werden, gesetzlicher Unfallversicherungsschutz?</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Ja. Trotz der Untersagung von Unterricht in Schulen besteht in der aktuellen Situation bei der Notbetreuung für Kinder Versicherungsschutz nach § 2 Abs. 1 Nr. 8b SGB VII. Das gilt auch dann, wenn Schülerinnen und Schüler (im Ausnahmefall z. B. bei Betretungsverbot durch Quarantänefall) an einer anderen als der für sie zuständigen Schule betreut werden.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Wer entscheidet über den Antrag auf Notbetreuung?</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Über den Antrag entscheiden die Einrichtungsträger bzw. die Kindertagespflegepersonen vor Ort. Ggf. ist der örtliche Jugendhilfeträger in die Entscheidung mit einzubeziehen.</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lastRenderedPageBreak/>
        <w:t xml:space="preserve">Dürfen örtliche Träger datenschutzrechtlich die systemkritischen Berufe der Eltern verarbeiten? </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Ja. Behörden wie die öffentlichen Träger der Betreuungseinrichtungen dürfen zur Erfüllung der im öffentlichen Interesse liegenden Aufgaben erforderlichen Daten verarbeiten – auch in diesem Fall.</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b/>
          <w:bCs/>
          <w:color w:val="4D4D4D"/>
          <w:sz w:val="21"/>
          <w:szCs w:val="21"/>
          <w:lang w:eastAsia="de-DE"/>
        </w:rPr>
        <w:t>Was passiert mit Schulen, über die das Gesundheitsamt eine Quarantäne verhängt?</w:t>
      </w:r>
    </w:p>
    <w:p w:rsidR="00FE59BB" w:rsidRPr="00FE59BB" w:rsidRDefault="00FE59BB" w:rsidP="00FE59BB">
      <w:pPr>
        <w:spacing w:after="150" w:line="240" w:lineRule="auto"/>
        <w:rPr>
          <w:rFonts w:ascii="Roboto" w:eastAsia="Times New Roman" w:hAnsi="Roboto" w:cs="Arial"/>
          <w:color w:val="4D4D4D"/>
          <w:sz w:val="21"/>
          <w:szCs w:val="21"/>
          <w:lang w:eastAsia="de-DE"/>
        </w:rPr>
      </w:pPr>
      <w:r w:rsidRPr="00FE59BB">
        <w:rPr>
          <w:rFonts w:ascii="Roboto" w:eastAsia="Times New Roman" w:hAnsi="Roboto" w:cs="Arial"/>
          <w:color w:val="4D4D4D"/>
          <w:sz w:val="21"/>
          <w:szCs w:val="21"/>
          <w:lang w:eastAsia="de-DE"/>
        </w:rPr>
        <w:t>Für sie besteht ein Betretungsverbot. Kinder dieser Einrichtung können an anderen Schulen betreut werden, sofern sie nicht unter häuslicher Absonderung oder Quarantäne stehen. Antworten im Einzelfall erteilt die Schulleitung.</w:t>
      </w:r>
    </w:p>
    <w:p w:rsidR="009F07F4" w:rsidRDefault="009F07F4">
      <w:bookmarkStart w:id="0" w:name="_GoBack"/>
      <w:bookmarkEnd w:id="0"/>
    </w:p>
    <w:sectPr w:rsidR="009F0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4B2"/>
    <w:multiLevelType w:val="multilevel"/>
    <w:tmpl w:val="806A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E7541"/>
    <w:multiLevelType w:val="multilevel"/>
    <w:tmpl w:val="02C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0644E"/>
    <w:multiLevelType w:val="multilevel"/>
    <w:tmpl w:val="C62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B2E4B"/>
    <w:multiLevelType w:val="multilevel"/>
    <w:tmpl w:val="685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BB"/>
    <w:rsid w:val="009F07F4"/>
    <w:rsid w:val="00FE5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3189-5512-4D2F-AB68-AEE8FF3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97635">
      <w:bodyDiv w:val="1"/>
      <w:marLeft w:val="0"/>
      <w:marRight w:val="0"/>
      <w:marTop w:val="0"/>
      <w:marBottom w:val="0"/>
      <w:divBdr>
        <w:top w:val="none" w:sz="0" w:space="0" w:color="auto"/>
        <w:left w:val="none" w:sz="0" w:space="0" w:color="auto"/>
        <w:bottom w:val="none" w:sz="0" w:space="0" w:color="auto"/>
        <w:right w:val="none" w:sz="0" w:space="0" w:color="auto"/>
      </w:divBdr>
      <w:divsChild>
        <w:div w:id="1746418277">
          <w:marLeft w:val="0"/>
          <w:marRight w:val="0"/>
          <w:marTop w:val="0"/>
          <w:marBottom w:val="0"/>
          <w:divBdr>
            <w:top w:val="none" w:sz="0" w:space="0" w:color="auto"/>
            <w:left w:val="none" w:sz="0" w:space="0" w:color="auto"/>
            <w:bottom w:val="none" w:sz="0" w:space="0" w:color="auto"/>
            <w:right w:val="none" w:sz="0" w:space="0" w:color="auto"/>
          </w:divBdr>
          <w:divsChild>
            <w:div w:id="164169848">
              <w:marLeft w:val="0"/>
              <w:marRight w:val="0"/>
              <w:marTop w:val="0"/>
              <w:marBottom w:val="0"/>
              <w:divBdr>
                <w:top w:val="none" w:sz="0" w:space="0" w:color="auto"/>
                <w:left w:val="none" w:sz="0" w:space="0" w:color="auto"/>
                <w:bottom w:val="none" w:sz="0" w:space="0" w:color="auto"/>
                <w:right w:val="none" w:sz="0" w:space="0" w:color="auto"/>
              </w:divBdr>
              <w:divsChild>
                <w:div w:id="120345903">
                  <w:marLeft w:val="0"/>
                  <w:marRight w:val="0"/>
                  <w:marTop w:val="0"/>
                  <w:marBottom w:val="0"/>
                  <w:divBdr>
                    <w:top w:val="none" w:sz="0" w:space="0" w:color="auto"/>
                    <w:left w:val="none" w:sz="0" w:space="0" w:color="auto"/>
                    <w:bottom w:val="none" w:sz="0" w:space="0" w:color="auto"/>
                    <w:right w:val="none" w:sz="0" w:space="0" w:color="auto"/>
                  </w:divBdr>
                  <w:divsChild>
                    <w:div w:id="1877572710">
                      <w:marLeft w:val="-225"/>
                      <w:marRight w:val="-225"/>
                      <w:marTop w:val="0"/>
                      <w:marBottom w:val="0"/>
                      <w:divBdr>
                        <w:top w:val="none" w:sz="0" w:space="0" w:color="auto"/>
                        <w:left w:val="none" w:sz="0" w:space="0" w:color="auto"/>
                        <w:bottom w:val="none" w:sz="0" w:space="0" w:color="auto"/>
                        <w:right w:val="none" w:sz="0" w:space="0" w:color="auto"/>
                      </w:divBdr>
                      <w:divsChild>
                        <w:div w:id="1943103081">
                          <w:marLeft w:val="0"/>
                          <w:marRight w:val="0"/>
                          <w:marTop w:val="0"/>
                          <w:marBottom w:val="0"/>
                          <w:divBdr>
                            <w:top w:val="none" w:sz="0" w:space="0" w:color="auto"/>
                            <w:left w:val="none" w:sz="0" w:space="0" w:color="auto"/>
                            <w:bottom w:val="none" w:sz="0" w:space="0" w:color="auto"/>
                            <w:right w:val="none" w:sz="0" w:space="0" w:color="auto"/>
                          </w:divBdr>
                          <w:divsChild>
                            <w:div w:id="2060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9600</Characters>
  <Application>Microsoft Office Word</Application>
  <DocSecurity>0</DocSecurity>
  <Lines>80</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Schulleitung</dc:creator>
  <cp:keywords/>
  <dc:description/>
  <cp:lastModifiedBy>Schulleitung</cp:lastModifiedBy>
  <cp:revision>2</cp:revision>
  <dcterms:created xsi:type="dcterms:W3CDTF">2020-05-26T11:43:00Z</dcterms:created>
  <dcterms:modified xsi:type="dcterms:W3CDTF">2020-05-26T11:44:00Z</dcterms:modified>
</cp:coreProperties>
</file>